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9" w:rsidRPr="00CC6B49" w:rsidRDefault="00CC6B49" w:rsidP="00CC6B49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it-IT"/>
        </w:rPr>
      </w:pPr>
      <w:r w:rsidRPr="00CC6B49"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it-IT"/>
        </w:rPr>
        <w:fldChar w:fldCharType="begin"/>
      </w:r>
      <w:r w:rsidRPr="00CC6B49"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it-IT"/>
        </w:rPr>
        <w:instrText xml:space="preserve"> HYPERLINK "http://gualerzi.blogautore.repubblica.it/" \o "Torna alla home del blog" </w:instrText>
      </w:r>
      <w:r w:rsidRPr="00CC6B49"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it-IT"/>
        </w:rPr>
        <w:fldChar w:fldCharType="separate"/>
      </w:r>
      <w:r w:rsidRPr="00CC6B49">
        <w:rPr>
          <w:rFonts w:ascii="Arial" w:eastAsia="Times New Roman" w:hAnsi="Arial" w:cs="Arial"/>
          <w:b/>
          <w:bCs/>
          <w:caps/>
          <w:color w:val="FFFFFF"/>
          <w:kern w:val="36"/>
          <w:sz w:val="54"/>
          <w:lang w:eastAsia="it-IT"/>
        </w:rPr>
        <w:t>2050</w:t>
      </w:r>
      <w:r w:rsidRPr="00CC6B49"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it-IT"/>
        </w:rPr>
        <w:fldChar w:fldCharType="end"/>
      </w:r>
    </w:p>
    <w:p w:rsidR="00CC6B49" w:rsidRPr="00CC6B49" w:rsidRDefault="00CC6B49" w:rsidP="00CC6B49">
      <w:pPr>
        <w:spacing w:after="0" w:line="240" w:lineRule="auto"/>
        <w:textAlignment w:val="baseline"/>
        <w:rPr>
          <w:rFonts w:ascii="inherit" w:eastAsia="Times New Roman" w:hAnsi="inherit" w:cs="Arial"/>
          <w:caps/>
          <w:color w:val="FFFFFF"/>
          <w:sz w:val="23"/>
          <w:szCs w:val="23"/>
          <w:lang w:eastAsia="it-IT"/>
        </w:rPr>
      </w:pPr>
      <w:r w:rsidRPr="00CC6B49">
        <w:rPr>
          <w:rFonts w:ascii="inherit" w:eastAsia="Times New Roman" w:hAnsi="inherit" w:cs="Arial"/>
          <w:caps/>
          <w:color w:val="FFFFFF"/>
          <w:sz w:val="23"/>
          <w:szCs w:val="23"/>
          <w:lang w:eastAsia="it-IT"/>
        </w:rPr>
        <w:t>T</w:t>
      </w:r>
    </w:p>
    <w:p w:rsidR="00CC6B49" w:rsidRPr="00CC6B49" w:rsidRDefault="00CC6B49" w:rsidP="00CC6B49">
      <w:pPr>
        <w:spacing w:after="150" w:line="240" w:lineRule="auto"/>
        <w:textAlignment w:val="baseline"/>
        <w:rPr>
          <w:rFonts w:ascii="inherit" w:eastAsia="Times New Roman" w:hAnsi="inherit" w:cs="Arial"/>
          <w:caps/>
          <w:color w:val="FFFFFF"/>
          <w:sz w:val="23"/>
          <w:szCs w:val="23"/>
          <w:lang w:eastAsia="it-IT"/>
        </w:rPr>
      </w:pPr>
      <w:r w:rsidRPr="00CC6B49">
        <w:rPr>
          <w:rFonts w:ascii="inherit" w:eastAsia="Times New Roman" w:hAnsi="inherit" w:cs="Arial"/>
          <w:caps/>
          <w:color w:val="FFFFFF"/>
          <w:sz w:val="23"/>
          <w:szCs w:val="23"/>
          <w:lang w:eastAsia="it-IT"/>
        </w:rPr>
        <w:t>2018</w:t>
      </w:r>
    </w:p>
    <w:p w:rsidR="00CC6B49" w:rsidRPr="00CC6B49" w:rsidRDefault="00CC6B49" w:rsidP="00CC6B49">
      <w:pPr>
        <w:spacing w:after="30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5"/>
          <w:szCs w:val="45"/>
          <w:lang w:eastAsia="it-IT"/>
        </w:rPr>
      </w:pPr>
      <w:r w:rsidRPr="00CC6B49">
        <w:rPr>
          <w:rFonts w:ascii="Arial" w:eastAsia="Times New Roman" w:hAnsi="Arial" w:cs="Arial"/>
          <w:b/>
          <w:bCs/>
          <w:color w:val="111111"/>
          <w:kern w:val="36"/>
          <w:sz w:val="45"/>
          <w:szCs w:val="45"/>
          <w:lang w:eastAsia="it-IT"/>
        </w:rPr>
        <w:t>Apre l'impianto italiano che cattura CO2 dall'aria</w:t>
      </w:r>
    </w:p>
    <w:p w:rsidR="00CC6B49" w:rsidRPr="00CC6B49" w:rsidRDefault="00CC6B49" w:rsidP="00CC6B49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1894AD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>
            <wp:extent cx="5961311" cy="3124200"/>
            <wp:effectExtent l="19050" t="0" r="1339" b="0"/>
            <wp:docPr id="2" name="Immagine 2" descr="pugl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gl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11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Dopo i primi esperimenti </w:t>
      </w:r>
      <w:hyperlink r:id="rId7" w:history="1">
        <w:r w:rsidRPr="00CC6B49">
          <w:rPr>
            <w:rFonts w:ascii="Arial" w:eastAsia="Times New Roman" w:hAnsi="Arial" w:cs="Arial"/>
            <w:color w:val="1894AD"/>
            <w:sz w:val="24"/>
            <w:szCs w:val="24"/>
            <w:lang w:eastAsia="it-IT"/>
          </w:rPr>
          <w:t>in Svizzera</w:t>
        </w:r>
      </w:hyperlink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 e </w:t>
      </w:r>
      <w:hyperlink r:id="rId8" w:history="1">
        <w:r w:rsidRPr="00CC6B49">
          <w:rPr>
            <w:rFonts w:ascii="Arial" w:eastAsia="Times New Roman" w:hAnsi="Arial" w:cs="Arial"/>
            <w:color w:val="1894AD"/>
            <w:sz w:val="24"/>
            <w:szCs w:val="24"/>
            <w:lang w:eastAsia="it-IT"/>
          </w:rPr>
          <w:t>Islanda</w:t>
        </w:r>
      </w:hyperlink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, l'azienda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Climeworks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ha inaugurato in Italia il suo terzo impianto pilota per la cattura dell'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anidiride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carbonica direttamente dall'atmosfera.</w:t>
      </w:r>
    </w:p>
    <w:p w:rsidR="00CC6B49" w:rsidRPr="00CC6B49" w:rsidRDefault="00CC6B49" w:rsidP="00CC6B49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La "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Direct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Air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Capture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" (DAC-3) è stata realizzata a Troia, in provincia di Foggia, nell'ambito del progetto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STORE&amp;GO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, inserito nel programma dell'Unione Europea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Horizon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2020.</w:t>
      </w:r>
    </w:p>
    <w:p w:rsidR="00CC6B49" w:rsidRPr="00CC6B49" w:rsidRDefault="00CC6B49" w:rsidP="00CC6B49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Attraverso un particolare procedimento chimico chiamato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metanazione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, l'anidride carbonica "succhiata" dall'aria, mescolata con altri gas, tra cui dell'idrogeno ottenuto grazie all'energia rinnovabile, verrà trasformata in metano utilizzabile come combustibile per auto o come forma di stoccaggio energetico per garantire continuità di approvvigionamento a eolico e solare.</w:t>
      </w:r>
    </w:p>
    <w:p w:rsidR="00CC6B49" w:rsidRPr="00CC6B49" w:rsidRDefault="00CC6B49" w:rsidP="00CC6B49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Il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cossiddetto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"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power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to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gas" come forma di immagazzinamento energetico per dare stabilità ad una rete elettrica che nel corso degli anni dovrà fare sempre più affidamento sulle rinnovabili intermittenti è ritenuto un campo di applicazione molto promettente.</w:t>
      </w:r>
    </w:p>
    <w:p w:rsidR="00CC6B49" w:rsidRPr="00CC6B49" w:rsidRDefault="00CC6B49" w:rsidP="00CC6B49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L'auspicio della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Climeworks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è quello di tenere in esercizio nel corso dei prossimi 17 mesi per 4.000 ore, dimostrando la capacità di poter filtrare direttamente dall'aria 150 tonnellate di CO2 l'anno.</w:t>
      </w:r>
    </w:p>
    <w:p w:rsidR="00CC6B49" w:rsidRPr="00CC6B49" w:rsidRDefault="00CC6B49" w:rsidP="00CC6B49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lastRenderedPageBreak/>
        <w:t xml:space="preserve">Partner scientifico italiano del progetto è il Politecnico di Torino, mentre ad occuparsi in particolare della fase di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metanazione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e dell'associata generazione di idrogeno da fonti rinnovabili, è l'impresa francese ATMOSTAT.</w:t>
      </w:r>
    </w:p>
    <w:p w:rsidR="00CC6B49" w:rsidRPr="00CC6B49" w:rsidRDefault="00CC6B49" w:rsidP="00CC6B49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L'azienda svizzera ricorda </w:t>
      </w:r>
      <w:proofErr w:type="spellStart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chel</w:t>
      </w:r>
      <w:proofErr w:type="spellEnd"/>
      <w:r w:rsidRPr="00CC6B49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'Unione Europea ha l'ambizione di arrivare ad un utilizzo di energia da fonti rinnovabili del 43% entro il 2030 e del 50% entro il 2050</w:t>
      </w:r>
    </w:p>
    <w:p w:rsidR="00FA0AA9" w:rsidRDefault="00FA0AA9"/>
    <w:sectPr w:rsidR="00FA0AA9" w:rsidSect="00FA0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FA9"/>
    <w:multiLevelType w:val="multilevel"/>
    <w:tmpl w:val="749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B49"/>
    <w:rsid w:val="000D0661"/>
    <w:rsid w:val="001D1280"/>
    <w:rsid w:val="002746B2"/>
    <w:rsid w:val="00295601"/>
    <w:rsid w:val="00364F32"/>
    <w:rsid w:val="003A3C5B"/>
    <w:rsid w:val="008201CE"/>
    <w:rsid w:val="008369AB"/>
    <w:rsid w:val="00944E51"/>
    <w:rsid w:val="009A7494"/>
    <w:rsid w:val="00B51108"/>
    <w:rsid w:val="00C06F29"/>
    <w:rsid w:val="00CC6B49"/>
    <w:rsid w:val="00CF1130"/>
    <w:rsid w:val="00DA39F6"/>
    <w:rsid w:val="00E11DB4"/>
    <w:rsid w:val="00EB527A"/>
    <w:rsid w:val="00F3574B"/>
    <w:rsid w:val="00F71F94"/>
    <w:rsid w:val="00FA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AA9"/>
  </w:style>
  <w:style w:type="paragraph" w:styleId="Titolo1">
    <w:name w:val="heading 1"/>
    <w:basedOn w:val="Normale"/>
    <w:link w:val="Titolo1Carattere"/>
    <w:uiPriority w:val="9"/>
    <w:qFormat/>
    <w:rsid w:val="00CC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6B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6B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7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61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17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alerzi.blogautore.repubblica.it/2017/10/13/in-islanda-la-prima-centrale-che-rimuove-c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ist.org/article/first-commercial-carbon-capture-plant-is-going-live-in-switzer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dn.gelestatic.it/repubblica/blogautore/sites/235/2018/10/pugli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2019-07-06T15:38:00Z</dcterms:created>
  <dcterms:modified xsi:type="dcterms:W3CDTF">2019-07-06T15:39:00Z</dcterms:modified>
</cp:coreProperties>
</file>