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34" w:rsidRPr="00781234" w:rsidRDefault="00781234" w:rsidP="0078123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bebasneue" w:eastAsia="Times New Roman" w:hAnsi="bebasneue" w:cs="Times New Roman"/>
          <w:color w:val="333333"/>
          <w:kern w:val="36"/>
          <w:sz w:val="59"/>
          <w:szCs w:val="59"/>
          <w:lang w:eastAsia="it-IT"/>
        </w:rPr>
      </w:pPr>
      <w:r w:rsidRPr="00781234">
        <w:rPr>
          <w:rFonts w:ascii="bebasneue" w:eastAsia="Times New Roman" w:hAnsi="bebasneue" w:cs="Times New Roman"/>
          <w:color w:val="333333"/>
          <w:kern w:val="36"/>
          <w:sz w:val="59"/>
          <w:szCs w:val="59"/>
          <w:lang w:eastAsia="it-IT"/>
        </w:rPr>
        <w:t>Emissioni di CO2 ai massimi livelli della storia nel 2018</w:t>
      </w:r>
    </w:p>
    <w:p w:rsidR="00781234" w:rsidRPr="00781234" w:rsidRDefault="00781234" w:rsidP="0078123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hyperlink r:id="rId5" w:tooltip="Redazione QualEnergia.it" w:history="1">
        <w:r w:rsidRPr="00781234">
          <w:rPr>
            <w:rFonts w:ascii="Arial" w:eastAsia="Times New Roman" w:hAnsi="Arial" w:cs="Arial"/>
            <w:color w:val="CC3631"/>
            <w:sz w:val="28"/>
            <w:szCs w:val="28"/>
            <w:u w:val="single"/>
            <w:lang w:eastAsia="it-IT"/>
          </w:rPr>
          <w:t xml:space="preserve">Redazione </w:t>
        </w:r>
        <w:proofErr w:type="spellStart"/>
        <w:r w:rsidRPr="00781234">
          <w:rPr>
            <w:rFonts w:ascii="Arial" w:eastAsia="Times New Roman" w:hAnsi="Arial" w:cs="Arial"/>
            <w:color w:val="CC3631"/>
            <w:sz w:val="28"/>
            <w:szCs w:val="28"/>
            <w:u w:val="single"/>
            <w:lang w:eastAsia="it-IT"/>
          </w:rPr>
          <w:t>QualEnergia.it</w:t>
        </w:r>
        <w:proofErr w:type="spellEnd"/>
      </w:hyperlink>
    </w:p>
    <w:p w:rsidR="00781234" w:rsidRPr="00781234" w:rsidRDefault="00781234" w:rsidP="00781234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781234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E all’orizzonte non sembra esserci quell’inversione netta di tendenza indispensabile per contrastare il cambiamento climatico. I dati del Global </w:t>
      </w:r>
      <w:proofErr w:type="spellStart"/>
      <w:r w:rsidRPr="00781234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Carbon</w:t>
      </w:r>
      <w:proofErr w:type="spellEnd"/>
      <w:r w:rsidRPr="00781234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Project.</w:t>
      </w:r>
    </w:p>
    <w:p w:rsidR="00781234" w:rsidRPr="00781234" w:rsidRDefault="00781234" w:rsidP="0078123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it-IT"/>
        </w:rPr>
        <w:drawing>
          <wp:inline distT="0" distB="0" distL="0" distR="0">
            <wp:extent cx="6477000" cy="4714817"/>
            <wp:effectExtent l="19050" t="0" r="0" b="0"/>
            <wp:docPr id="1" name="Immagine 1" descr="https://cdn.qualenergia.it/wp-content/uploads/2018/12/Schermata-2018-12-06-alle-16.02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qualenergia.it/wp-content/uploads/2018/12/Schermata-2018-12-06-alle-16.02.2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714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234" w:rsidRPr="00781234" w:rsidRDefault="00781234" w:rsidP="00781234">
      <w:pPr>
        <w:shd w:val="clear" w:color="auto" w:fill="FFFFFF"/>
        <w:spacing w:after="0" w:line="225" w:lineRule="atLeast"/>
        <w:outlineLvl w:val="2"/>
        <w:rPr>
          <w:rFonts w:ascii="bebasneue" w:eastAsia="Times New Roman" w:hAnsi="bebasneue" w:cs="Arial"/>
          <w:color w:val="333333"/>
          <w:sz w:val="17"/>
          <w:szCs w:val="17"/>
          <w:lang w:eastAsia="it-IT"/>
        </w:rPr>
      </w:pPr>
      <w:r w:rsidRPr="00781234">
        <w:rPr>
          <w:rFonts w:ascii="bebasneue" w:eastAsia="Times New Roman" w:hAnsi="bebasneue" w:cs="Arial"/>
          <w:color w:val="333333"/>
          <w:sz w:val="17"/>
          <w:szCs w:val="17"/>
          <w:lang w:eastAsia="it-IT"/>
        </w:rPr>
        <w:t>Condividi</w:t>
      </w:r>
    </w:p>
    <w:p w:rsidR="00781234" w:rsidRPr="00781234" w:rsidRDefault="00781234" w:rsidP="00781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781234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  </w:t>
      </w:r>
    </w:p>
    <w:p w:rsidR="00781234" w:rsidRPr="00781234" w:rsidRDefault="00781234" w:rsidP="00781234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  <w:r w:rsidRPr="00781234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Le </w:t>
      </w:r>
      <w:r w:rsidRPr="00781234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emissioni globali </w:t>
      </w:r>
      <w:r w:rsidRPr="00781234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di gas-serra continuano a crescere, </w:t>
      </w:r>
      <w:r w:rsidRPr="00781234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senza intravedere</w:t>
      </w:r>
      <w:r w:rsidRPr="00781234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 quel </w:t>
      </w:r>
      <w:r w:rsidRPr="00781234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picco della CO2</w:t>
      </w:r>
      <w:r w:rsidRPr="00781234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con successiva rapida diminuzione dell’inquinamento atmosferico indispensabile per combattere efficacemente il </w:t>
      </w:r>
      <w:r w:rsidRPr="00781234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cambiamento climatico</w:t>
      </w:r>
      <w:r w:rsidRPr="00781234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.</w:t>
      </w:r>
    </w:p>
    <w:p w:rsidR="00781234" w:rsidRPr="00781234" w:rsidRDefault="00781234" w:rsidP="00781234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  <w:r w:rsidRPr="00781234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Mentre proseguono i negoziati della </w:t>
      </w:r>
      <w:r w:rsidRPr="00781234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CoP24</w:t>
      </w:r>
      <w:r w:rsidRPr="00781234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 a Katowice, in Polonia, il </w:t>
      </w:r>
      <w:r w:rsidRPr="00781234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 xml:space="preserve">Global </w:t>
      </w:r>
      <w:proofErr w:type="spellStart"/>
      <w:r w:rsidRPr="00781234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Carbon</w:t>
      </w:r>
      <w:proofErr w:type="spellEnd"/>
      <w:r w:rsidRPr="00781234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 xml:space="preserve"> Project </w:t>
      </w:r>
      <w:r w:rsidRPr="00781234"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(GCP) – un gruppo internazionale di scienziati che studia l’evoluzione del ciclo del carbonio e le sue conseguenze per l’ambiente – ha pubblicato il Global </w:t>
      </w:r>
      <w:proofErr w:type="spellStart"/>
      <w:r w:rsidRPr="00781234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Carbon</w:t>
      </w:r>
      <w:proofErr w:type="spellEnd"/>
      <w:r w:rsidRPr="00781234"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 Budget 2018.</w:t>
      </w:r>
    </w:p>
    <w:p w:rsidR="00781234" w:rsidRPr="00781234" w:rsidRDefault="00781234" w:rsidP="00781234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  <w:r w:rsidRPr="00781234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Vediamo una sintesi dei </w:t>
      </w:r>
      <w:r w:rsidRPr="00781234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principali risultati</w:t>
      </w:r>
      <w:r w:rsidRPr="00781234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, aiutandoci con un paio di grafici tratti dalla presentazione del rapporto (documento completo allegato in basso).</w:t>
      </w:r>
    </w:p>
    <w:p w:rsidR="00781234" w:rsidRPr="00781234" w:rsidRDefault="00781234" w:rsidP="00781234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  <w:r w:rsidRPr="00781234">
        <w:rPr>
          <w:rFonts w:ascii="Arial" w:eastAsia="Times New Roman" w:hAnsi="Arial" w:cs="Arial"/>
          <w:color w:val="555555"/>
          <w:sz w:val="24"/>
          <w:szCs w:val="24"/>
          <w:lang w:eastAsia="it-IT"/>
        </w:rPr>
        <w:lastRenderedPageBreak/>
        <w:t>Secondo le </w:t>
      </w:r>
      <w:r w:rsidRPr="00781234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proiezioni</w:t>
      </w:r>
      <w:r w:rsidRPr="00781234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 per l’anno in corso, le emissioni totali di CO2 dovute all’utilizzo di </w:t>
      </w:r>
      <w:r w:rsidRPr="00781234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combustibili fossili</w:t>
      </w:r>
      <w:r w:rsidRPr="00781234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 toccheranno </w:t>
      </w:r>
      <w:r w:rsidRPr="00781234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37,1 miliardi di tonnellate</w:t>
      </w:r>
      <w:r w:rsidRPr="00781234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 (</w:t>
      </w:r>
      <w:proofErr w:type="spellStart"/>
      <w:r w:rsidRPr="00781234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Gt</w:t>
      </w:r>
      <w:proofErr w:type="spellEnd"/>
      <w:r w:rsidRPr="00781234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, giga tonnellate) alla fine del 2018, con un aumento stimato del +2,7% rispetto al 2017.</w:t>
      </w:r>
    </w:p>
    <w:p w:rsidR="00781234" w:rsidRPr="00781234" w:rsidRDefault="00781234" w:rsidP="00781234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color w:val="CC3631"/>
          <w:sz w:val="24"/>
          <w:szCs w:val="24"/>
          <w:lang w:eastAsia="it-IT"/>
        </w:rPr>
        <w:drawing>
          <wp:inline distT="0" distB="0" distL="0" distR="0">
            <wp:extent cx="5067300" cy="3691890"/>
            <wp:effectExtent l="19050" t="0" r="0" b="0"/>
            <wp:docPr id="2" name="Immagine 2" descr="https://cdn.qualenergia.it/wp-content/uploads/2018/12/Schermata-2018-12-06-alle-16.02.27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qualenergia.it/wp-content/uploads/2018/12/Schermata-2018-12-06-alle-16.02.27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69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234" w:rsidRPr="00781234" w:rsidRDefault="00781234" w:rsidP="00781234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  <w:r w:rsidRPr="00781234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Anche nel 2017 le emissioni erano salite (+1,6% in confronto ai dodici mesi precedenti), dopo tre anni di stagnazione con incrementi quasi impercettibili, che avevano indotto a ipotizzare un’inversione di tendenza.</w:t>
      </w:r>
    </w:p>
    <w:p w:rsidR="00781234" w:rsidRPr="00781234" w:rsidRDefault="00781234" w:rsidP="00781234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  <w:r w:rsidRPr="00781234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Il grafico successivo evidenzia il </w:t>
      </w:r>
      <w:r w:rsidRPr="00781234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contributo</w:t>
      </w:r>
      <w:r w:rsidRPr="00781234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 dei principali </w:t>
      </w:r>
      <w:r w:rsidRPr="00781234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paesi </w:t>
      </w:r>
      <w:r w:rsidRPr="00781234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all’andamento previsto della CO2, da cui emerge il ruolo dominante della </w:t>
      </w:r>
      <w:r w:rsidRPr="00781234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Cina</w:t>
      </w:r>
      <w:r w:rsidRPr="00781234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 dagli anni duemila in avanti, a causa soprattutto dell’impiego massiccio di carbone nel mix energetico.</w:t>
      </w:r>
    </w:p>
    <w:p w:rsidR="00781234" w:rsidRPr="00781234" w:rsidRDefault="00781234" w:rsidP="00781234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color w:val="CC3631"/>
          <w:sz w:val="24"/>
          <w:szCs w:val="24"/>
          <w:lang w:eastAsia="it-IT"/>
        </w:rPr>
        <w:lastRenderedPageBreak/>
        <w:drawing>
          <wp:inline distT="0" distB="0" distL="0" distR="0">
            <wp:extent cx="5534025" cy="3881723"/>
            <wp:effectExtent l="19050" t="0" r="9525" b="0"/>
            <wp:docPr id="3" name="Immagine 3" descr="https://cdn.qualenergia.it/wp-content/uploads/2018/12/Schermata-2018-12-06-alle-15.20.18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qualenergia.it/wp-content/uploads/2018/12/Schermata-2018-12-06-alle-15.20.18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881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234" w:rsidRPr="00781234" w:rsidRDefault="00781234" w:rsidP="00781234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  <w:r w:rsidRPr="00781234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La Cina, difatti, spiega una nota divulgativa di GCP, è responsabile di circa il </w:t>
      </w:r>
      <w:r w:rsidRPr="00781234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27% delle emissioni totali</w:t>
      </w:r>
      <w:r w:rsidRPr="00781234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, con un balzo stimato del +4,7% nel 2018.</w:t>
      </w:r>
    </w:p>
    <w:p w:rsidR="00781234" w:rsidRPr="00781234" w:rsidRDefault="00781234" w:rsidP="00781234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  <w:r w:rsidRPr="00781234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In aumento</w:t>
      </w:r>
      <w:r w:rsidRPr="00781234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 anche la </w:t>
      </w:r>
      <w:r w:rsidRPr="00781234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CO2</w:t>
      </w:r>
      <w:r w:rsidRPr="00781234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 proveniente </w:t>
      </w:r>
      <w:r w:rsidRPr="00781234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dall’India e dagli Stati Uniti</w:t>
      </w:r>
      <w:r w:rsidRPr="00781234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, mentre </w:t>
      </w:r>
      <w:r w:rsidRPr="00781234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in Europa</w:t>
      </w:r>
      <w:r w:rsidRPr="00781234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 il dato 2018 dovrebbe attestarsi su un </w:t>
      </w:r>
      <w:r w:rsidRPr="00781234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lievissimo declino</w:t>
      </w:r>
      <w:r w:rsidRPr="00781234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 delle emissioni: -0,7% in confronto al 2017 ma lontano dalle riduzioni più consistenti registrate negli anni passati.</w:t>
      </w:r>
    </w:p>
    <w:p w:rsidR="00781234" w:rsidRPr="00781234" w:rsidRDefault="00781234" w:rsidP="00781234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  <w:r w:rsidRPr="00781234"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Il messaggio del Global </w:t>
      </w:r>
      <w:proofErr w:type="spellStart"/>
      <w:r w:rsidRPr="00781234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Carbon</w:t>
      </w:r>
      <w:proofErr w:type="spellEnd"/>
      <w:r w:rsidRPr="00781234"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 Project è allineato agli scenari tracciati recentemente dall’IPCC e dall’</w:t>
      </w:r>
      <w:proofErr w:type="spellStart"/>
      <w:r w:rsidRPr="00781234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Unep</w:t>
      </w:r>
      <w:proofErr w:type="spellEnd"/>
      <w:r w:rsidRPr="00781234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: bisogna </w:t>
      </w:r>
      <w:r w:rsidRPr="00781234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de-carbonizzare molto velocemente</w:t>
      </w:r>
      <w:r w:rsidRPr="00781234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 l’economia mondiale, azzerando le emissioni nette di gas-serra </w:t>
      </w:r>
      <w:r w:rsidRPr="00781234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entro il 2050</w:t>
      </w:r>
      <w:r w:rsidRPr="00781234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, per rimanere in linea con l’obiettivo di </w:t>
      </w:r>
      <w:r w:rsidRPr="00781234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contenere</w:t>
      </w:r>
      <w:r w:rsidRPr="00781234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 il </w:t>
      </w:r>
      <w:r w:rsidRPr="00781234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surriscaldamento terrestre</w:t>
      </w:r>
      <w:r w:rsidRPr="00781234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 a 1,5-2 gradi a fine secolo, rispetto alle temperature medie registrate nell’età preindustriale.</w:t>
      </w:r>
    </w:p>
    <w:sectPr w:rsidR="00781234" w:rsidRPr="00781234" w:rsidSect="00FA0A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A0801"/>
    <w:multiLevelType w:val="multilevel"/>
    <w:tmpl w:val="CA5E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81234"/>
    <w:rsid w:val="000D0661"/>
    <w:rsid w:val="001D1280"/>
    <w:rsid w:val="002746B2"/>
    <w:rsid w:val="00295601"/>
    <w:rsid w:val="00364F32"/>
    <w:rsid w:val="003A3C5B"/>
    <w:rsid w:val="00781234"/>
    <w:rsid w:val="008201CE"/>
    <w:rsid w:val="008369AB"/>
    <w:rsid w:val="008F489F"/>
    <w:rsid w:val="00944E51"/>
    <w:rsid w:val="009A7494"/>
    <w:rsid w:val="00B51108"/>
    <w:rsid w:val="00C06F29"/>
    <w:rsid w:val="00CF1130"/>
    <w:rsid w:val="00E11DB4"/>
    <w:rsid w:val="00EB527A"/>
    <w:rsid w:val="00F3574B"/>
    <w:rsid w:val="00F71F94"/>
    <w:rsid w:val="00FA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AA9"/>
  </w:style>
  <w:style w:type="paragraph" w:styleId="Titolo1">
    <w:name w:val="heading 1"/>
    <w:basedOn w:val="Normale"/>
    <w:link w:val="Titolo1Carattere"/>
    <w:uiPriority w:val="9"/>
    <w:qFormat/>
    <w:rsid w:val="00781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7812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812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8123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8123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123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8123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8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81234"/>
    <w:rPr>
      <w:b/>
      <w:bCs/>
    </w:rPr>
  </w:style>
  <w:style w:type="paragraph" w:customStyle="1" w:styleId="title">
    <w:name w:val="title"/>
    <w:basedOn w:val="Normale"/>
    <w:rsid w:val="0078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1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7151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67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656">
          <w:marLeft w:val="0"/>
          <w:marRight w:val="0"/>
          <w:marTop w:val="450"/>
          <w:marBottom w:val="0"/>
          <w:divBdr>
            <w:top w:val="single" w:sz="6" w:space="8" w:color="E1E1E1"/>
            <w:left w:val="none" w:sz="0" w:space="0" w:color="auto"/>
            <w:bottom w:val="single" w:sz="6" w:space="8" w:color="E1E1E1"/>
            <w:right w:val="none" w:sz="0" w:space="0" w:color="auto"/>
          </w:divBdr>
          <w:divsChild>
            <w:div w:id="14588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194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qualenergia.it/wp-content/uploads/2018/12/Schermata-2018-12-06-alle-15.20.18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dn.qualenergia.it/wp-content/uploads/2018/12/Schermata-2018-12-06-alle-16.02.27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qualenergia.it/firme/redazione-qualenergia-i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2019-07-06T15:55:00Z</dcterms:created>
  <dcterms:modified xsi:type="dcterms:W3CDTF">2019-07-06T15:56:00Z</dcterms:modified>
</cp:coreProperties>
</file>